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61 / 264 vom 23. Januar 2013</w:t>
      </w:r>
    </w:p>
    <w:p>
      <w:r>
        <w:t>BL Gerichte, 2013-01-23, DE</w:t>
      </w:r>
    </w:p>
    <w:p>
      <w:r>
        <w:rPr>
          <w:b/>
        </w:rPr>
        <w:t xml:space="preserve">Quelle: </w:t>
      </w:r>
      <w:r>
        <w:t>https://mcp.opencaselaw.ch/entscheid/bl_gerichte_720 13 61 _ 264</w:t>
      </w:r>
    </w:p>
    <w:p>
      <w:r>
        <w:t>FR: BL_GERICHTE 720 13 61 / 264 du 23 janvier 2013</w:t>
      </w:r>
    </w:p>
    <w:p>
      <w:r>
        <w:t>IT: BL_GERICHTE 720 13 61 / 264 del 23 gennaio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28. Februar 2013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H.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23. Januar 2013) entwickelt haben, wobei für die hypothetische Annahme einer im Gesundheitsfall ausgeübten (Teil-) Erwerbstätigkeit der im Sozialversicherungsrecht übliche Beweisgrad der überwiegenden Wahrscheinlichkeit erforderlich ist (BGE 137 V 338 E. 3.2, 125 V 150 E. 2c, je mit Hinweisen). 4.2 In der angefochtenen Verfügung vom 23. Januar 2013 hat die IV-Stelle den Invaliditätsgrad der Versicherten in Anwendung der gemischten Methode der Invaliditätsbemessung ermittelt. Dabei ist sie davon ausgegangen, dass die Versicherte als Gesunde zu 30 % einer ausserhäuslichen Erwerbstätigkeit nachgehen würde und zu 70 % im Haushalt beschäftigt wäre. Demgegenüber macht die Versicherte in ihrer Beschwerde geltend, sie wäre ohne gesundheitliche Beeinträchtigungen zu 100 % erwerbstätig, weshalb die Bemessung der Invalidität nach der allgemeinen Methode des Einkommensvergleichs zu erfolgen habe. 4.3 Die IV-Stelle weist zur Begründung der von ihr getroffenen Methodenwahl und der Festlegung der Anteile der Erwerbstätigkeit (30 %) und der Haushalttätigkeit (70 %) darauf hin, dass die Versicherte anlässlich der Haushaltabklärung vom 27. Juni 2012 angegeben habe, sie würde ohne gesundheitliche Einschränkungen aus finanziellen Gründen und wegen des gewünschten Kontakts zu anderen Menschen in einem Pensum von 30 % einer Erwerbstätigkeit nachgehen. Wie dem "Fragebogen zur Ermittlung der Erwerbstätigkeit" entnommen werden kann, hat die Abklärungsperson die entsprechende Aussage der Versicherten so protokolliert und den Fragebogen anschliessend der Versicherten mit dem ausdrücklichen Hinweis zugestellt, das Protokoll auf seine Richtigkeit hin zu überprüfen und dieses zu unterschreiben. In der Folge hat die Versicherte bei der entsprechenden Aussage auf dem Fragebogen den Vermerk “nicht einverstanden“ angebracht und den Fragebogen ohne Unterschrift an die IV-Stelle retourniert. In der vorliegenden Beschwerde macht die Versicherte diesbezüglich geltend, die protokollierte Aussage beruhe auf Missverständnissen und sei unkorrekt. Es verhalte sich vielmehr so, dass sie aus objektiver Sicht eine ganztägige Erwerbstätigkeit verrichten würde, weil sie und ihre Familie dringend auf ein zusätzliches Einkommen angewiesen seien. Zudem könne ihr Ehemann, der eine IV-Rente beziehe und deswegen nicht erwerbstätig sei, die Haushaltführung und die Kindererziehung übernehmen. Somit sei der Invaliditätsgrad in ihrem Fall nach der allgemeinen Bemessungsmethode des Einkommensvergleichs zu ermitteln. 4.4 Die von den Parteien in ihren Rechtsschriften einlässlich diskutierte Frage, ob der Invaliditätsgrad der Beschwerdeführerin in Anwendung der gemischten Bemessungsmethode oder aber nach der allgemeinen Methode des Einkommensvergleichs zu ermitteln ist, kann vorliegend offen bleiben. Wie sich aus den nachfolgenden Erwägungen ergibt, resultiert für die Versicherte auch dann kein Rentenanspruch, wenn der Invaliditätsgrad - ihrer Auffassung entsprechend - nach der allgemeinen Bemessungsmethode des Einkommensvergleichs ermittelt wird.</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Die IV-Stelle holte zur Abklärung des Gesundheitszustandes und zur Einschätzung der Arbeitsfähigkeit der Versicherten Berichte des Hausarztes Dr. med. C. , Innere Medizin FMH, vom 22. Dezember 2011 und der behandelnden Psychotherapeutin D. vom 3. Januar 2012 ein. Zudem legte der Hausarzt seinen Ausführungen ein Schreiben der Klinik E. vom 8. Dezember 2011 bei, in welchem diese über einen vom 15. bis 28. November 2011 dauernden stationären Klinikaufenthalt der Versicherten berichtete. Da die genannten Unterlagen nach Auffassung der IV-Stelle keine abschliessende Beurteilung des Gesundheitszustandes und der Arbeitsfähigkeit des Versicherten zuliessen, entschloss sich die IV-Stelle, zur weiteren Abklärung des medizinischen Sachverhaltes bei Dr. med. F. , Psychiatrie und Psychotherapie FMH, ein psychiatrisches Gutachten in Auftrag zu geben, welches dieser am 15. März 2012 erstattete. Bevor weiter unten auf den Inhalt und die Ergebnisse dieses fachärztlichen Gutachtens einzugehen sein wird, gilt es vorab die grundsätzlichen, vorwiegend formellen Einwände und Rügen zu prüfen, welche die Beschwerdeführerin im Zusammenhang mit der vorinstanzlichen Ermittlung des medizinischen Sachverhaltes und insbesondere hinsichtlich der Erteilung des Gutachterauftrags an Dr. F. vorbringt. 6.2. Die Beschwerdeführerin macht diesbezüglich geltend, die IV-Stelle sei im Rahmen des Administrativverfahrens ihren gesetzlichen Pflichten zur richtigen und vollständigen Ermittlung des Sachverhaltes von Amtes wegen sowie zu dessen neutraler und objektiver Beurteilung nicht nachgekommen. Insbesondere habe sie im Zusammenhang mit der Erteilung des Gutachterauftrages an Dr. F. dem aus Art. 6 Ziff. 1 der Konvention zum Schutze der Menschenrechte und Grundfreiheiten (EMRK) fliessenden Gebot des fairen Verfahrens in verschiedener Hinsicht keine oder zumindest keine hinreichende Beachtung geschenkt, weshalb dem betreffenden Administrativgutachten bereits aus diesem Grund keine Beweistauglichkeit zuerkannt werden könne. So stellt die Beschwerdeführerin im Einzelnen etwa die wirtschaftliche Unabhängigkeit des Experten in Frage und sie beanstandet, dass die Auftragserteilung nicht nach dem Zufallsprinzip erfolgt sei. Diese Einwände erweisen sich im Lichte der jüngsten bundesgerichtlichen Rechtsprechung zu diesen Themenkreisen jedoch als unbegründet. So kann hinsichtlich der in Frage gestellten wirtschaftlichen Unabhängigkeit des Gutachters auf den Entscheid 137 V 210 ff. verwiesen werden, mit welchem das Bundesgericht bestätigt hat,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(Urteil G. des Bundesgerichts vom 7. Mai 2012, 8C_257/2012, E. 5.1). Nichts zu ihren Gunsten ableiten kann die Beschwerdeführerin sodann aus dem Umstand, dass die Auswahl des Gutachters vorliegend nicht nach dem Zufallsprinzip erfolgt ist. Wie das Bundesgericht im Entscheid 139 V 349 ff. klargestellt hat, erweist es sich als rechtmässig, dass in Art. 72 bis IVV die Auftragsvergabe nach dem Zufallsprinzip auf Begutachtungen mit drei und mehr Fachdisziplinen beschränkt worden ist und eine solche somit bei monooder bidisziplinären Gutachten nicht zur Anwendung zu gelangen hat (BGE 139 V 351 E. 2.2 und 357 E. 5.4). 6.3 In seinem fachärztlichen Gutachten vom 15. März 2012 gelangte Dr. F. zur Auffassung, dass bei der Versicherten keine psychiatrische Diagnose mit Einfluss auf die Arbeitsfähigkeit vorliege. Als Diagnose ohne Auswirkung auf die Arbeitsfähigkeit hielt der Gutachter eine rezidivierende depressive Störung, gegenwärtig leichte Episode (ICD-10 F33.0) fest. Die Explorandin leide unter leichten morgendlichen Antriebsstörungen und sei psychisch leicht vermindert belastbar. Es bestünden keine Hinweise für eine mittelgradige oder schwere depressive Störung. Die passiven, regressiven Verhaltensweisen, die sich auch darin zeigen würden, dass die Explorandin einen grossen Teil des Tages im Bett verbringe, liessen sich nicht durch eine psychiatrische Störung im engeren Sinne begründen. Sie würden damit zusammenhängen, dass ihr Ehemann, der seit Jahren berentet sei, sich um den Haushalt kümmere und der Explorandin die Möglichkeit gebe, sich in ihre Passivität zurückzuziehen und die Verantwortung für den Haushalt dem Ehemann zu übergeben. Es sei nicht nachvollziehbar, dass die Explorandin einerseits keine Mühe habe, sich um die Kinder zu kümmern, das Zusammensein mit den Kindern geniesse, mit ihnen basteln, spielen sowie Ausflüge unternehmen könne, und dass sie anderseits aber keine Lust und Energie haben soll, sich um den Haushalt zu kümmern. Die aktive Kinderbetreuung und die Freude am Umgang mit den Kindern würden das Vorhandensein einer mittelgradigen oder schweren depressiven Störung ausschliessen. Was die Arbeitsfähigkeit betreffe, so bestehe in den früher ausgeübten Tätigkeiten als Verkäuferin und Büroangestellte aus psychiatrischer Sicht keine Einschränkung der Arbeitsfähigkeit. Der Explorandin sei es zumutbar, ganztags zu arbeiten. Auch in jeder anderen, ihren Fähigkeiten und Neigungen entsprechenden Tätigkeit bestehe eine volle Arbeits- und Leistungsfähigkeit. Bei den Tätigkeiten im Haushalt sei die Arbeitsfähigkeit ebenfalls nicht beeinträchtigt, zumal die Explorandin diese Arbeiten in vertrauter Umgebung und selbstbestimmt ausführen könne. 6.4 Die IV-Stelle stützte sich in der angefochtenen Verfügung vom 23. Januar 2013 bei der Beurteilung des Gesundheitszustandes und der Arbeitsfähigkeit der Versicherten vollumfänglich auf die Ergebnisse, zu denen Dr. F. in seinem psychiatrischen Gutachten vom 15. März 2012 gelangt war. Sie ging demzufolge davon aus, dass der Versicherten die Ausübung einer angepassten Tätigkeit im Umfang von 100 % zumutbar sei. Diese Beurteilung der Vorinstanz ist nicht zu beanstanden.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Der Gutachter hat die Versicherte eingehend untersucht, er geht in seinem ausführlichen Bericht einlässlich auf deren Beschwerden ein, er setzt sich mit den bei den Akten liegenden medizinischen Unterlagen auseinander, er vermittelt dadurch ein umfassendes Bild über den Gesundheitszustand und er nimmt eine schlüssige Einschätzung der Arbeitsfähigkeit der Versicherten vor. 6.5 Die Kritik, welche die Beschwerdeführerin (auch) in inhaltlicher Hinsicht am Gutachten von Dr. F. anbringt, ist nicht geeignet, dessen ausschlaggebende Beweiskraft in Frage zu stellen. Nichts zu ihren Gunsten ableiten kann die Versicherte insbesondere aus der abweichenden Beurteilung ihres Gesundheitszustandes durch med. pract. G. in dessen Berichten vom 26. November 2012 und 17. Januar 2013. Entgegen der darin geäusserten Auffassung ist gestützt auf die schlüssigen Darlegungen des Gutachters Dr. F. davon auszugehen, dass bei der Versicherten keine schwergradige depressive Störung vorliegt. Nicht beigepflichtet werden kann sodann auch dem Einwand der Beschwerdeführerin, dass Dr. F. keine vertiefte und seriöse Untersuchung ihres Gesundheitszustandes durchgeführt habe. Wie oben dargelegt, erfüllt dessen Gutachten die rechtsprechungsgemässen Voraussetzungen an eine medizinische Beurteilungsgrundlage (vgl. E. 6.4 hiervor) und es sind keine Anhaltspunkte ersichtlich, dass Dr. F. den Gesundheitszustand der Beschwerdeführerin nicht korrekt erfasst haben könnte. 6.6 Lassen die vorhandenen medizinischen Unterlagen nach dem Gesagten eine zuverlässige Beurteilung des Gesundheitszustandes und der Arbeitsfähigkeit der Versicherten zu, so kann auf die von der Beschwerdeführerin eventualiter beantragte Einholung eines gerichtlichen Gutachtens aus dem psychiatrischen Fachbereich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 7.1 Wie bereits weiter oben ausgeführt (vgl. E. 3.2 hiervor), ist der Invaliditätsgrad bei erwerbstätigen Versicherten aufgrund eines Einkommensvergleichs zu bestimmen (Art. 16 ATSG). Die IV-Stelle hat in der angefochtenen Verfügung vom 23. Januar 2013 den erforderlichen Einkommensvergleich vorgenommen und einen Invaliditätsgrad von 0 % ermittelt. Bei der Berechnung des Valideneinkommens ist sie davon ausgegangen, dass die Versicherte im Gesundheitsfall in ihrem früheren Beruf als Verkäuferin tätig wäre und dabei im Rahmen eines 30 %-Pensums ein Gehalt von Fr. 15‘702.-- (was einem Lohn von Fr. 52‘340.-- bei einem Voll-pensum entspricht) erzielen würde. Dieses Ergebnis wird von der Versicherten in ihrer Beschwerde beanstandet, macht sie doch geltend, dass sie im Jahr 2003 eine Ausbildung zur Postassistentin begonnen habe, welche sie in der Folge aus gesundheitlichen Gründen habe abbrechen müssen. Wäre dies nicht der Fall gewesen, hätte sie die Ausbildung zu Ende geführt, sodass sie heute - im Vergleich zum Lohn als Verkäuferin - ein deutlich höheres Einkommen von Fr. 62‘396.-- erzielen würde. Dem Einkommensvergleich sei deshalb der entsprechende höhere Betrag als Valideneinkommen zugrunde zu legen. Wie es sich mit diesem Einwand der Beschwerdeführerin verhält, braucht nun allerdings nicht weiter geprüft zu werden. Bei der Bemessung des Invalideneinkommens ist mit der IV-Stelle davon auszugehen, dass die Versicherte in Anbetracht der massgebenden fachärztlichen Zumutbarkeitsbeurteilung jedenfalls in der Lage wäre, mindestens ein - gestützt auf die Tabellenlöhne der Schweizerischen Lohnstrukturerhebung (LSE) des Bundesamtes für Statistik (Anforderungsniveau 4, Frauen, Total) berechnetes - Gehalt von Fr. 15‘818.-- (bei einem 30 %-Pensum) bzw. von Fr. 52‘728.-- (bei einem Vollpensum) zu erzielen. Daraus folgt, dass bei der Versicherten auch dann - bei weitem -kein rentenbegründender Invaliditätsgrad vorliegt, wenn man im Rahmen des Einkommensvergleichs zu ihren Gunsten von dem von ihr als massgebend bezeichneten Valideneinkommen von Fr. 62‘396.-- ausgeht. In diesem Fall würde in Anwendung der allgemeinen Methode des Einkommensvergleichs ein Invaliditätsgrad von - gerundet - 15 % und nach der gemischten Methode (mit einem Erwerbsanteil von 30 % und einer Einschränkung von 15 % sowie einem Haushaltanteil von 70 % und einer Einschränkung von 0 %) ein solcher von insgesamt - wiederum gerundet - 5 % resultieren. In Anbetracht dieser Ergebnisse kann denn auch, wie bereits oben erwähnt (vgl. E. 4.4 hiervor), ausdrücklich offen bleiben, ob der Invaliditätsgrad der Versicherten mit der IV-Stelle in Anwendung der gemischten Bemessungsmethode oder aber - wie von der Beschwerdeführerin verlangt - nach der allgemeinen Methode des Einkommensvergleichs zu ermitteln ist. 7.2 Zusammenfassend ist festzuhalten, dass die IV-Stelle einen Rentenanspruch der Versicherten zu Recht abgelehnt hat. Die gegen die betreffende Verfügung vom 23. Januar 2013 erhobene Beschwerde erweist sich als unbegründet, weshalb sie abgewiesen werden muss.</w:t>
      </w:r>
    </w:p>
    <w:p>
      <w:r>
        <w:rPr>
          <w:b/>
        </w:rPr>
        <w:t>E. 8</w:t>
      </w:r>
    </w:p>
    <w:p>
      <w:r>
        <w:t>Wie eingangs erwähnt, hat die Versicherte dem Gericht am 11. September 2013 eine Bescheinigung der Klinik B. vom 5. September 2013 zukommen lassen, wonach sie sich seit 20. August 2013 in stationärer Behandlung in der genannten Klinik befindet. Darauf kann im Rahmen des vorliegenden Beschwerdeverfahrens nicht weiter eingegangen werden. Nach ständiger Rechtsprechung hat das Sozialversicherungsgericht die Gesetzmässigkeit der Verwaltungsverfügungen in der Regel nach dem Sachverhalt zu beurteilen hat, der zur Zeit des Verfügungserlasses gegeben war (BGE 130 V 140 E. 2.1, 121 V 366 E. 1b mit Hinweisen). Tatsachen, die jenen Sachverhalt seither verändert haben, sollen im Normalfall Gegenstand einer neuen Verwaltungsverfügung bilden (BGE 130 V 140 E. 2.1, 121 V 366 E. 1b mit Hinweis). Daraus folgt, dass für die Beurteilung der vorliegenden Beschwerde der (medizinische) Sachverhalt massgebend ist, der am 23. Januar 2013, dem Zeitpunkt des Erlasses der angefochtenen Verfügung der IV-Stelle, vorgelegen hat. Sollte es seither zu einer andauernden, relevanten Verschlechterung des Gesundheitszustandes der Versicherten gekommen sein, steht es dieser selbstverständlich offen, mit einem neuen Leistungsbegehren (vgl. zu den Voraussetzungen einer solchen Neuanmeldung: Art. 87 Abs. 2 und 3 IVV) an die IV-Stelle zu gelangen.</w:t>
      </w:r>
    </w:p>
    <w:p>
      <w:r>
        <w:rPr>
          <w:b/>
        </w:rPr>
        <w:t>E. 9</w:t>
      </w:r>
    </w:p>
    <w:p>
      <w:r>
        <w:t>Abschliessend bleibt über die Kosten des Verfahrens zu befinden.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10. April 2013 die unentgeltliche Prozessführung bewilligt worden. Aus diesem Grund werden die Verfahrenskosten vorläufig auf die Gerichtskasse genommen.</w:t>
      </w:r>
    </w:p>
    <w:p>
      <w:r>
        <w:rPr>
          <w:b/>
        </w:rPr>
        <w:t>E. 9.2</w:t>
      </w:r>
    </w:p>
    <w:p>
      <w:r>
        <w:t>Die ausserordentlichen Kosten sind dem Prozessausgang entsprechend wettzuschlagen. Da der Beschwerdeführerin mit Verfügung vom 8. April 2013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180.-- pro Stunde. Der Rechtsvertreter der Beschwerdeführerin hat in seiner Honorarnote vom 22. Juli 2013 für das vorliegende Beschwerdeverfahren einen Zeitaufwand von 14 Stunden und 35 Minuten geltend gemacht, was sich umfangmässig in Anbetracht der sich stellenden Sachverhalts- und Rechtsfragen als angemessen erweist. Nicht zu beanstanden sind sodann die ausgewiesenen Auslagen von Fr. 65.40. Dem Rechtsvertreter ist deshalb ein Honorar in der Höhe von Fr. 2'905.65 (14 Stunden und 35 Minuten à Fr. 180.-- zuzüglich Auslagen von Fr. 65.40 + 8 % Mehrwertsteuer) aus der Gerichtskasse auszurichten.</w:t>
      </w:r>
    </w:p>
    <w:p>
      <w:r>
        <w:rPr>
          <w:b/>
        </w:rPr>
        <w:t>E. 9.3</w:t>
      </w:r>
    </w:p>
    <w:p>
      <w:r>
        <w:t>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2'905.65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